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6D3" w:themeColor="accent4" w:themeTint="33"/>
  <w:body>
    <w:p w:rsidR="005C64CA" w:rsidRPr="00AE19D3" w:rsidRDefault="005C64CA" w:rsidP="00AE19D3">
      <w:pPr>
        <w:pStyle w:val="NoSpacing"/>
        <w:ind w:left="-284"/>
        <w:rPr>
          <w:b/>
          <w:caps/>
          <w:color w:val="FF4411"/>
          <w:sz w:val="72"/>
          <w:szCs w:val="72"/>
        </w:rPr>
      </w:pPr>
      <w:r w:rsidRPr="00AE19D3">
        <w:rPr>
          <w:b/>
          <w:caps/>
          <w:noProof/>
          <w:color w:val="FF4411"/>
          <w:sz w:val="72"/>
          <w:szCs w:val="72"/>
          <w:lang w:eastAsia="en-AU"/>
        </w:rPr>
        <w:drawing>
          <wp:anchor distT="0" distB="0" distL="114300" distR="114300" simplePos="0" relativeHeight="251658240" behindDoc="1" locked="0" layoutInCell="1" allowOverlap="1" wp14:anchorId="67F450C9" wp14:editId="22CC0F4E">
            <wp:simplePos x="0" y="0"/>
            <wp:positionH relativeFrom="column">
              <wp:posOffset>3615055</wp:posOffset>
            </wp:positionH>
            <wp:positionV relativeFrom="paragraph">
              <wp:posOffset>0</wp:posOffset>
            </wp:positionV>
            <wp:extent cx="2729865" cy="857250"/>
            <wp:effectExtent l="0" t="0" r="0" b="0"/>
            <wp:wrapTight wrapText="bothSides">
              <wp:wrapPolygon edited="0">
                <wp:start x="1206" y="0"/>
                <wp:lineTo x="0" y="960"/>
                <wp:lineTo x="0" y="12480"/>
                <wp:lineTo x="2713" y="15360"/>
                <wp:lineTo x="0" y="17760"/>
                <wp:lineTo x="0" y="21120"/>
                <wp:lineTo x="21404" y="21120"/>
                <wp:lineTo x="21404" y="18240"/>
                <wp:lineTo x="5276" y="15360"/>
                <wp:lineTo x="21404" y="15360"/>
                <wp:lineTo x="21404" y="8640"/>
                <wp:lineTo x="16882" y="6240"/>
                <wp:lineTo x="16581" y="960"/>
                <wp:lineTo x="14169" y="0"/>
                <wp:lineTo x="1206" y="0"/>
              </wp:wrapPolygon>
            </wp:wrapTight>
            <wp:docPr id="2" name="Picture 2" descr="J:\Objective\edrms-prd\Objects\STAF_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jective\edrms-prd\Objects\STAF_logo_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986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A12" w:rsidRPr="00AE19D3">
        <w:rPr>
          <w:b/>
          <w:caps/>
          <w:color w:val="FF4411"/>
          <w:sz w:val="72"/>
          <w:szCs w:val="72"/>
        </w:rPr>
        <w:t xml:space="preserve">Elder abuse </w:t>
      </w:r>
    </w:p>
    <w:p w:rsidR="00B40A12" w:rsidRPr="00AE19D3" w:rsidRDefault="00B40A12" w:rsidP="0005307A">
      <w:pPr>
        <w:pStyle w:val="NoSpacing"/>
        <w:tabs>
          <w:tab w:val="right" w:pos="5513"/>
        </w:tabs>
        <w:ind w:left="-284"/>
        <w:rPr>
          <w:b/>
          <w:smallCaps/>
          <w:color w:val="FF4411"/>
          <w:sz w:val="48"/>
          <w:szCs w:val="48"/>
        </w:rPr>
      </w:pPr>
      <w:r w:rsidRPr="00AE19D3">
        <w:rPr>
          <w:b/>
          <w:smallCaps/>
          <w:color w:val="FF4411"/>
          <w:sz w:val="48"/>
          <w:szCs w:val="48"/>
        </w:rPr>
        <w:t xml:space="preserve">prevention and response </w:t>
      </w:r>
      <w:r w:rsidR="0005307A">
        <w:rPr>
          <w:b/>
          <w:smallCaps/>
          <w:color w:val="FF4411"/>
          <w:sz w:val="48"/>
          <w:szCs w:val="48"/>
        </w:rPr>
        <w:tab/>
      </w:r>
    </w:p>
    <w:p w:rsidR="002A1D21" w:rsidRDefault="00B40A12" w:rsidP="00AE19D3">
      <w:pPr>
        <w:pStyle w:val="NoSpacing"/>
        <w:ind w:left="-284"/>
        <w:rPr>
          <w:b/>
          <w:color w:val="FF4411"/>
          <w:sz w:val="48"/>
          <w:szCs w:val="48"/>
        </w:rPr>
      </w:pPr>
      <w:r w:rsidRPr="00AE19D3">
        <w:rPr>
          <w:b/>
          <w:color w:val="FF4411"/>
          <w:sz w:val="48"/>
          <w:szCs w:val="48"/>
        </w:rPr>
        <w:t>2016 Grants Program</w:t>
      </w:r>
    </w:p>
    <w:p w:rsidR="00156513" w:rsidRPr="00AE19D3" w:rsidRDefault="00156513" w:rsidP="00AE19D3">
      <w:pPr>
        <w:pStyle w:val="NoSpacing"/>
        <w:ind w:left="-284"/>
        <w:rPr>
          <w:b/>
          <w:color w:val="FF4411"/>
          <w:sz w:val="48"/>
          <w:szCs w:val="48"/>
        </w:rPr>
      </w:pPr>
    </w:p>
    <w:p w:rsidR="00435411" w:rsidRDefault="009639EC" w:rsidP="00435411">
      <w:pPr>
        <w:pStyle w:val="NoSpacing"/>
        <w:ind w:left="-284"/>
        <w:rPr>
          <w:b/>
          <w:sz w:val="28"/>
          <w:szCs w:val="28"/>
        </w:rPr>
      </w:pPr>
      <w:r w:rsidRPr="00E12A3E">
        <w:rPr>
          <w:b/>
          <w:sz w:val="28"/>
          <w:szCs w:val="28"/>
        </w:rPr>
        <w:t xml:space="preserve">State Trustees Australia Foundation </w:t>
      </w:r>
    </w:p>
    <w:p w:rsidR="00435411" w:rsidRDefault="00156513" w:rsidP="00435411">
      <w:pPr>
        <w:pStyle w:val="NoSpacing"/>
        <w:ind w:left="-284"/>
        <w:rPr>
          <w:sz w:val="28"/>
          <w:szCs w:val="28"/>
        </w:rPr>
      </w:pPr>
      <w:r>
        <w:rPr>
          <w:sz w:val="28"/>
          <w:szCs w:val="28"/>
        </w:rPr>
        <w:t>The</w:t>
      </w:r>
      <w:r w:rsidR="00435411" w:rsidRPr="00435411">
        <w:rPr>
          <w:sz w:val="28"/>
          <w:szCs w:val="28"/>
        </w:rPr>
        <w:t xml:space="preserve"> Foundation was established in 1994 as a public charitable trust administered by State Trustees.  Funded by donations and bequests from generous donors, the Foundation has distributed more than $12 million in the last 20 years.</w:t>
      </w:r>
    </w:p>
    <w:p w:rsidR="00156513" w:rsidRDefault="00156513" w:rsidP="00435411">
      <w:pPr>
        <w:pStyle w:val="NoSpacing"/>
        <w:ind w:left="-284"/>
        <w:rPr>
          <w:sz w:val="28"/>
          <w:szCs w:val="28"/>
        </w:rPr>
      </w:pPr>
    </w:p>
    <w:tbl>
      <w:tblPr>
        <w:tblStyle w:val="TableGrid"/>
        <w:tblW w:w="0" w:type="auto"/>
        <w:tblInd w:w="-284" w:type="dxa"/>
        <w:tblLook w:val="04A0" w:firstRow="1" w:lastRow="0" w:firstColumn="1" w:lastColumn="0" w:noHBand="0" w:noVBand="1"/>
      </w:tblPr>
      <w:tblGrid>
        <w:gridCol w:w="9016"/>
      </w:tblGrid>
      <w:tr w:rsidR="00156513" w:rsidTr="00156513">
        <w:tc>
          <w:tcPr>
            <w:tcW w:w="9016" w:type="dxa"/>
            <w:shd w:val="clear" w:color="auto" w:fill="FFFFFF" w:themeFill="background1"/>
          </w:tcPr>
          <w:p w:rsidR="00156513" w:rsidRPr="00156513" w:rsidRDefault="00156513" w:rsidP="00156513">
            <w:pPr>
              <w:jc w:val="center"/>
              <w:rPr>
                <w:rFonts w:ascii="Calibri" w:eastAsia="Times New Roman" w:hAnsi="Calibri" w:cs="Times New Roman"/>
                <w:b/>
                <w:color w:val="E84C22" w:themeColor="accent1"/>
                <w:sz w:val="16"/>
                <w:szCs w:val="16"/>
                <w:lang w:eastAsia="en-AU"/>
              </w:rPr>
            </w:pPr>
          </w:p>
          <w:p w:rsidR="00156513" w:rsidRPr="004E53AC" w:rsidRDefault="00156513" w:rsidP="00156513">
            <w:pPr>
              <w:jc w:val="center"/>
              <w:rPr>
                <w:rFonts w:ascii="Calibri" w:eastAsia="Times New Roman" w:hAnsi="Calibri" w:cs="Times New Roman"/>
                <w:b/>
                <w:color w:val="E84C22" w:themeColor="accent1"/>
                <w:sz w:val="36"/>
                <w:szCs w:val="36"/>
                <w:lang w:eastAsia="en-AU"/>
              </w:rPr>
            </w:pPr>
            <w:r w:rsidRPr="004E53AC">
              <w:rPr>
                <w:rFonts w:ascii="Calibri" w:eastAsia="Times New Roman" w:hAnsi="Calibri" w:cs="Times New Roman"/>
                <w:b/>
                <w:color w:val="E84C22" w:themeColor="accent1"/>
                <w:sz w:val="36"/>
                <w:szCs w:val="36"/>
                <w:lang w:eastAsia="en-AU"/>
              </w:rPr>
              <w:t>Elder abuse prevention and response funding priorities</w:t>
            </w:r>
          </w:p>
          <w:p w:rsidR="00156513" w:rsidRPr="00AE19D3" w:rsidRDefault="00156513" w:rsidP="00156513">
            <w:pPr>
              <w:pStyle w:val="NoSpacing"/>
              <w:ind w:left="720"/>
              <w:rPr>
                <w:b/>
                <w:sz w:val="24"/>
                <w:szCs w:val="24"/>
              </w:rPr>
            </w:pPr>
          </w:p>
          <w:p w:rsidR="00156513" w:rsidRPr="004E53AC" w:rsidRDefault="00156513" w:rsidP="00156513">
            <w:pPr>
              <w:pStyle w:val="NoSpacing"/>
              <w:ind w:left="360"/>
              <w:rPr>
                <w:rFonts w:cs="Arial"/>
                <w:b/>
                <w:sz w:val="28"/>
                <w:szCs w:val="28"/>
              </w:rPr>
            </w:pPr>
            <w:r w:rsidRPr="004E53AC">
              <w:rPr>
                <w:rFonts w:cs="Arial"/>
                <w:b/>
                <w:sz w:val="28"/>
                <w:szCs w:val="28"/>
              </w:rPr>
              <w:t>Awareness building activities</w:t>
            </w:r>
          </w:p>
          <w:p w:rsidR="00156513" w:rsidRPr="00156513" w:rsidRDefault="00156513" w:rsidP="00156513">
            <w:pPr>
              <w:pStyle w:val="NoSpacing"/>
              <w:numPr>
                <w:ilvl w:val="0"/>
                <w:numId w:val="3"/>
              </w:numPr>
              <w:ind w:left="720"/>
              <w:rPr>
                <w:rFonts w:cs="Arial"/>
                <w:b/>
                <w:sz w:val="24"/>
                <w:szCs w:val="24"/>
              </w:rPr>
            </w:pPr>
            <w:r w:rsidRPr="00156513">
              <w:rPr>
                <w:rFonts w:cs="Arial"/>
                <w:sz w:val="24"/>
                <w:szCs w:val="24"/>
              </w:rPr>
              <w:t>to build awareness of the issue and provide people with information about what constitutes elder abuse and how to prevent and address it</w:t>
            </w:r>
            <w:r w:rsidRPr="00156513">
              <w:rPr>
                <w:rFonts w:cs="Arial"/>
                <w:sz w:val="24"/>
                <w:szCs w:val="24"/>
              </w:rPr>
              <w:br/>
            </w:r>
          </w:p>
          <w:p w:rsidR="00156513" w:rsidRPr="004E53AC" w:rsidRDefault="00156513" w:rsidP="00156513">
            <w:pPr>
              <w:pStyle w:val="NoSpacing"/>
              <w:ind w:left="360"/>
              <w:rPr>
                <w:rFonts w:cs="Arial"/>
                <w:sz w:val="28"/>
                <w:szCs w:val="28"/>
              </w:rPr>
            </w:pPr>
            <w:r w:rsidRPr="004E53AC">
              <w:rPr>
                <w:rFonts w:cs="Arial"/>
                <w:b/>
                <w:sz w:val="28"/>
                <w:szCs w:val="28"/>
              </w:rPr>
              <w:t xml:space="preserve">Education and skill development programs  </w:t>
            </w:r>
          </w:p>
          <w:p w:rsidR="00156513" w:rsidRPr="00156513" w:rsidRDefault="00156513" w:rsidP="00156513">
            <w:pPr>
              <w:pStyle w:val="NoSpacing"/>
              <w:numPr>
                <w:ilvl w:val="0"/>
                <w:numId w:val="3"/>
              </w:numPr>
              <w:ind w:left="720"/>
              <w:rPr>
                <w:rFonts w:cs="Arial"/>
                <w:sz w:val="24"/>
                <w:szCs w:val="24"/>
              </w:rPr>
            </w:pPr>
            <w:r w:rsidRPr="00156513">
              <w:rPr>
                <w:rFonts w:cs="Arial"/>
                <w:sz w:val="24"/>
                <w:szCs w:val="24"/>
              </w:rPr>
              <w:t>to help older people to understand, assert and protect their rights</w:t>
            </w:r>
            <w:r w:rsidRPr="00156513">
              <w:rPr>
                <w:rFonts w:cs="Arial"/>
                <w:sz w:val="24"/>
                <w:szCs w:val="24"/>
              </w:rPr>
              <w:br/>
            </w:r>
          </w:p>
          <w:p w:rsidR="00156513" w:rsidRPr="004E53AC" w:rsidRDefault="00156513" w:rsidP="00156513">
            <w:pPr>
              <w:pStyle w:val="NoSpacing"/>
              <w:ind w:left="360"/>
              <w:rPr>
                <w:rFonts w:cs="Arial"/>
                <w:b/>
                <w:sz w:val="28"/>
                <w:szCs w:val="28"/>
              </w:rPr>
            </w:pPr>
            <w:r w:rsidRPr="004E53AC">
              <w:rPr>
                <w:rFonts w:cs="Arial"/>
                <w:b/>
                <w:sz w:val="28"/>
                <w:szCs w:val="28"/>
              </w:rPr>
              <w:t xml:space="preserve">Social participation programs </w:t>
            </w:r>
          </w:p>
          <w:p w:rsidR="00156513" w:rsidRPr="00156513" w:rsidRDefault="00156513" w:rsidP="00156513">
            <w:pPr>
              <w:pStyle w:val="NoSpacing"/>
              <w:numPr>
                <w:ilvl w:val="0"/>
                <w:numId w:val="3"/>
              </w:numPr>
              <w:ind w:left="720"/>
              <w:rPr>
                <w:rFonts w:cs="Arial"/>
                <w:sz w:val="24"/>
                <w:szCs w:val="24"/>
              </w:rPr>
            </w:pPr>
            <w:r w:rsidRPr="00156513">
              <w:rPr>
                <w:rFonts w:cs="Arial"/>
                <w:sz w:val="24"/>
                <w:szCs w:val="24"/>
              </w:rPr>
              <w:t>to help older people to stay socially connected</w:t>
            </w:r>
            <w:r w:rsidRPr="00156513">
              <w:rPr>
                <w:rFonts w:cs="Arial"/>
                <w:sz w:val="24"/>
                <w:szCs w:val="24"/>
              </w:rPr>
              <w:br/>
            </w:r>
          </w:p>
          <w:p w:rsidR="00156513" w:rsidRPr="004E53AC" w:rsidRDefault="00156513" w:rsidP="00156513">
            <w:pPr>
              <w:pStyle w:val="NoSpacing"/>
              <w:ind w:left="360"/>
              <w:rPr>
                <w:rFonts w:cs="Arial"/>
                <w:b/>
                <w:sz w:val="28"/>
                <w:szCs w:val="28"/>
              </w:rPr>
            </w:pPr>
            <w:r w:rsidRPr="004E53AC">
              <w:rPr>
                <w:rFonts w:cs="Arial"/>
                <w:b/>
                <w:sz w:val="28"/>
                <w:szCs w:val="28"/>
              </w:rPr>
              <w:t xml:space="preserve">Information services to help older people to access independent advice prior to making decisions about housing and financial matters and to access information about power of attorney and guardianship options </w:t>
            </w:r>
          </w:p>
          <w:p w:rsidR="00156513" w:rsidRPr="00156513" w:rsidRDefault="00156513" w:rsidP="00156513">
            <w:pPr>
              <w:pStyle w:val="NoSpacing"/>
              <w:numPr>
                <w:ilvl w:val="0"/>
                <w:numId w:val="3"/>
              </w:numPr>
              <w:ind w:left="720"/>
              <w:rPr>
                <w:rFonts w:cs="Arial"/>
                <w:sz w:val="24"/>
                <w:szCs w:val="24"/>
              </w:rPr>
            </w:pPr>
            <w:r w:rsidRPr="00156513">
              <w:rPr>
                <w:rFonts w:cs="Arial"/>
                <w:sz w:val="24"/>
                <w:szCs w:val="24"/>
              </w:rPr>
              <w:t>to help older people to manage their financial affairs and plan for and have choice over who will manage their affairs if they lose capacity</w:t>
            </w:r>
            <w:r w:rsidRPr="00156513">
              <w:rPr>
                <w:rFonts w:cs="Arial"/>
                <w:sz w:val="24"/>
                <w:szCs w:val="24"/>
              </w:rPr>
              <w:br/>
            </w:r>
          </w:p>
          <w:p w:rsidR="00156513" w:rsidRPr="004E53AC" w:rsidRDefault="00156513" w:rsidP="00156513">
            <w:pPr>
              <w:pStyle w:val="NoSpacing"/>
              <w:ind w:left="360"/>
              <w:rPr>
                <w:rFonts w:cs="Arial"/>
                <w:b/>
                <w:sz w:val="28"/>
                <w:szCs w:val="28"/>
              </w:rPr>
            </w:pPr>
            <w:r w:rsidRPr="004E53AC">
              <w:rPr>
                <w:rFonts w:cs="Arial"/>
                <w:b/>
                <w:sz w:val="28"/>
                <w:szCs w:val="28"/>
              </w:rPr>
              <w:t xml:space="preserve">Capacity building and training for community health workers and carers </w:t>
            </w:r>
          </w:p>
          <w:p w:rsidR="00156513" w:rsidRPr="00156513" w:rsidRDefault="00156513" w:rsidP="00156513">
            <w:pPr>
              <w:pStyle w:val="NoSpacing"/>
              <w:numPr>
                <w:ilvl w:val="0"/>
                <w:numId w:val="3"/>
              </w:numPr>
              <w:ind w:left="720"/>
              <w:rPr>
                <w:b/>
                <w:sz w:val="24"/>
                <w:szCs w:val="24"/>
              </w:rPr>
            </w:pPr>
            <w:r w:rsidRPr="00156513">
              <w:rPr>
                <w:rFonts w:cs="Arial"/>
                <w:sz w:val="24"/>
                <w:szCs w:val="24"/>
              </w:rPr>
              <w:t>to help them to identify and respond to (prospective) issues</w:t>
            </w:r>
          </w:p>
          <w:p w:rsidR="00156513" w:rsidRDefault="00156513" w:rsidP="00156513">
            <w:pPr>
              <w:pStyle w:val="NoSpacing"/>
              <w:rPr>
                <w:rFonts w:cs="Arial"/>
                <w:sz w:val="28"/>
                <w:szCs w:val="28"/>
              </w:rPr>
            </w:pPr>
          </w:p>
          <w:p w:rsidR="00156513" w:rsidRDefault="00156513" w:rsidP="00156513">
            <w:pPr>
              <w:pStyle w:val="NoSpacing"/>
              <w:ind w:left="360"/>
              <w:rPr>
                <w:sz w:val="28"/>
                <w:szCs w:val="28"/>
              </w:rPr>
            </w:pPr>
            <w:r w:rsidRPr="00156513">
              <w:rPr>
                <w:rFonts w:cs="Arial"/>
                <w:sz w:val="24"/>
                <w:szCs w:val="24"/>
              </w:rPr>
              <w:t>Projects that help Victorians will be given preference.</w:t>
            </w:r>
          </w:p>
        </w:tc>
      </w:tr>
    </w:tbl>
    <w:p w:rsidR="00156513" w:rsidRDefault="00156513" w:rsidP="00435411">
      <w:pPr>
        <w:pStyle w:val="NoSpacing"/>
        <w:ind w:left="-284"/>
        <w:rPr>
          <w:sz w:val="28"/>
          <w:szCs w:val="28"/>
        </w:rPr>
      </w:pPr>
    </w:p>
    <w:p w:rsidR="00156513" w:rsidRDefault="00156513" w:rsidP="00156513">
      <w:pPr>
        <w:pStyle w:val="NoSpacing"/>
        <w:ind w:left="-284"/>
        <w:rPr>
          <w:b/>
          <w:sz w:val="28"/>
          <w:szCs w:val="28"/>
        </w:rPr>
      </w:pPr>
      <w:r>
        <w:rPr>
          <w:b/>
          <w:sz w:val="28"/>
          <w:szCs w:val="28"/>
        </w:rPr>
        <w:t>Why is the Foundation funding elder abuse prevention and response?</w:t>
      </w:r>
    </w:p>
    <w:p w:rsidR="00156513" w:rsidRPr="004E53AC" w:rsidRDefault="00156513" w:rsidP="00156513">
      <w:pPr>
        <w:pStyle w:val="NoSpacing"/>
        <w:ind w:left="-284"/>
        <w:rPr>
          <w:sz w:val="28"/>
          <w:szCs w:val="28"/>
        </w:rPr>
      </w:pPr>
      <w:r w:rsidRPr="001A3C6E">
        <w:rPr>
          <w:sz w:val="28"/>
          <w:szCs w:val="28"/>
        </w:rPr>
        <w:t>State Trustees</w:t>
      </w:r>
      <w:r w:rsidR="00FE55B7">
        <w:rPr>
          <w:sz w:val="28"/>
          <w:szCs w:val="28"/>
        </w:rPr>
        <w:t xml:space="preserve"> Australia Foundation</w:t>
      </w:r>
      <w:r w:rsidRPr="001A3C6E">
        <w:rPr>
          <w:sz w:val="28"/>
          <w:szCs w:val="28"/>
        </w:rPr>
        <w:t xml:space="preserve"> has a particular focus on helping those disadvantaged by ageing, disability and mental health.</w:t>
      </w:r>
      <w:r w:rsidRPr="004E53AC">
        <w:rPr>
          <w:sz w:val="28"/>
          <w:szCs w:val="28"/>
        </w:rPr>
        <w:t xml:space="preserve"> </w:t>
      </w:r>
      <w:r>
        <w:rPr>
          <w:sz w:val="28"/>
          <w:szCs w:val="28"/>
        </w:rPr>
        <w:t xml:space="preserve"> </w:t>
      </w:r>
      <w:r w:rsidRPr="004E53AC">
        <w:rPr>
          <w:sz w:val="28"/>
          <w:szCs w:val="28"/>
        </w:rPr>
        <w:t>The</w:t>
      </w:r>
      <w:r>
        <w:rPr>
          <w:sz w:val="28"/>
          <w:szCs w:val="28"/>
        </w:rPr>
        <w:t xml:space="preserve"> Foundation</w:t>
      </w:r>
      <w:r w:rsidRPr="004E53AC">
        <w:rPr>
          <w:sz w:val="28"/>
          <w:szCs w:val="28"/>
        </w:rPr>
        <w:t xml:space="preserve"> aims to promote social inclusion, and provide support for individuals to live independently and build and maintain physical, emotional and spiritual wellbeing </w:t>
      </w:r>
      <w:r w:rsidRPr="004E53AC">
        <w:rPr>
          <w:sz w:val="28"/>
          <w:szCs w:val="28"/>
        </w:rPr>
        <w:lastRenderedPageBreak/>
        <w:t>and resilience, as well as reduce the incidence of adverse health issues that can limit their ability to live well.</w:t>
      </w:r>
    </w:p>
    <w:p w:rsidR="00156513" w:rsidRDefault="00156513" w:rsidP="004E53AC">
      <w:pPr>
        <w:pStyle w:val="NoSpacing"/>
        <w:ind w:left="-284"/>
        <w:rPr>
          <w:b/>
          <w:sz w:val="28"/>
          <w:szCs w:val="28"/>
        </w:rPr>
      </w:pPr>
    </w:p>
    <w:p w:rsidR="004E53AC" w:rsidRDefault="0005307A" w:rsidP="004E53AC">
      <w:pPr>
        <w:pStyle w:val="NoSpacing"/>
        <w:ind w:left="-284"/>
        <w:rPr>
          <w:b/>
          <w:sz w:val="28"/>
          <w:szCs w:val="28"/>
        </w:rPr>
      </w:pPr>
      <w:r>
        <w:rPr>
          <w:b/>
          <w:sz w:val="28"/>
          <w:szCs w:val="28"/>
        </w:rPr>
        <w:t xml:space="preserve">What </w:t>
      </w:r>
      <w:r w:rsidR="004E53AC">
        <w:rPr>
          <w:b/>
          <w:sz w:val="28"/>
          <w:szCs w:val="28"/>
        </w:rPr>
        <w:t xml:space="preserve">are the objectives of </w:t>
      </w:r>
      <w:r>
        <w:rPr>
          <w:b/>
          <w:sz w:val="28"/>
          <w:szCs w:val="28"/>
        </w:rPr>
        <w:t>the elder abuse program?</w:t>
      </w:r>
    </w:p>
    <w:p w:rsidR="004E53AC" w:rsidRPr="004E53AC" w:rsidRDefault="00435411" w:rsidP="004E53AC">
      <w:pPr>
        <w:pStyle w:val="NoSpacing"/>
        <w:ind w:left="-284"/>
        <w:rPr>
          <w:sz w:val="28"/>
          <w:szCs w:val="28"/>
        </w:rPr>
      </w:pPr>
      <w:r>
        <w:rPr>
          <w:sz w:val="28"/>
          <w:szCs w:val="28"/>
        </w:rPr>
        <w:t>To s</w:t>
      </w:r>
      <w:r w:rsidR="004E53AC" w:rsidRPr="004E53AC">
        <w:rPr>
          <w:sz w:val="28"/>
          <w:szCs w:val="28"/>
        </w:rPr>
        <w:t>upport older Australians to participate fully in economic, social and family life by supporting people to remain independent, active and socially connected as they age and exercise choice and control in how they engage with the service systems that support them</w:t>
      </w:r>
      <w:r w:rsidR="00477314">
        <w:rPr>
          <w:sz w:val="28"/>
          <w:szCs w:val="28"/>
        </w:rPr>
        <w:t>.</w:t>
      </w:r>
    </w:p>
    <w:p w:rsidR="0005307A" w:rsidRDefault="0005307A" w:rsidP="0047339D">
      <w:pPr>
        <w:pStyle w:val="NoSpacing"/>
        <w:ind w:left="-284"/>
        <w:rPr>
          <w:b/>
          <w:sz w:val="28"/>
          <w:szCs w:val="28"/>
        </w:rPr>
      </w:pPr>
    </w:p>
    <w:p w:rsidR="00AE19D3" w:rsidRDefault="00AE19D3" w:rsidP="0047339D">
      <w:pPr>
        <w:pStyle w:val="NoSpacing"/>
        <w:ind w:left="-284"/>
        <w:rPr>
          <w:b/>
          <w:sz w:val="28"/>
          <w:szCs w:val="28"/>
        </w:rPr>
      </w:pPr>
      <w:r>
        <w:rPr>
          <w:b/>
          <w:sz w:val="28"/>
          <w:szCs w:val="28"/>
        </w:rPr>
        <w:t>How much funding is available</w:t>
      </w:r>
      <w:r w:rsidR="00477314">
        <w:rPr>
          <w:b/>
          <w:sz w:val="28"/>
          <w:szCs w:val="28"/>
        </w:rPr>
        <w:t xml:space="preserve"> for a project</w:t>
      </w:r>
      <w:r>
        <w:rPr>
          <w:b/>
          <w:sz w:val="28"/>
          <w:szCs w:val="28"/>
        </w:rPr>
        <w:t>?</w:t>
      </w:r>
    </w:p>
    <w:p w:rsidR="00AE19D3" w:rsidRPr="00AE19D3" w:rsidRDefault="00AE19D3" w:rsidP="0047339D">
      <w:pPr>
        <w:pStyle w:val="NoSpacing"/>
        <w:ind w:left="-284"/>
        <w:rPr>
          <w:sz w:val="28"/>
          <w:szCs w:val="28"/>
        </w:rPr>
      </w:pPr>
      <w:r>
        <w:rPr>
          <w:sz w:val="28"/>
          <w:szCs w:val="28"/>
        </w:rPr>
        <w:t>The program will fund grants ranging from $50,000-$100,000.</w:t>
      </w:r>
    </w:p>
    <w:p w:rsidR="00AE19D3" w:rsidRDefault="00AE19D3" w:rsidP="0047339D">
      <w:pPr>
        <w:pStyle w:val="NoSpacing"/>
        <w:ind w:left="-284"/>
        <w:rPr>
          <w:b/>
          <w:sz w:val="28"/>
          <w:szCs w:val="28"/>
        </w:rPr>
      </w:pPr>
    </w:p>
    <w:tbl>
      <w:tblPr>
        <w:tblStyle w:val="TableGrid"/>
        <w:tblpPr w:leftFromText="180" w:rightFromText="180" w:vertAnchor="text" w:horzAnchor="page" w:tblpX="8628" w:tblpY="57"/>
        <w:tblW w:w="0" w:type="auto"/>
        <w:tblLook w:val="04A0" w:firstRow="1" w:lastRow="0" w:firstColumn="1" w:lastColumn="0" w:noHBand="0" w:noVBand="1"/>
      </w:tblPr>
      <w:tblGrid>
        <w:gridCol w:w="2689"/>
      </w:tblGrid>
      <w:tr w:rsidR="00156513" w:rsidTr="00156513">
        <w:tc>
          <w:tcPr>
            <w:tcW w:w="2689" w:type="dxa"/>
            <w:shd w:val="clear" w:color="auto" w:fill="FF6137" w:themeFill="accent6" w:themeFillTint="99"/>
          </w:tcPr>
          <w:p w:rsidR="00156513" w:rsidRDefault="00156513" w:rsidP="00156513">
            <w:pPr>
              <w:rPr>
                <w:color w:val="FFFFFF" w:themeColor="background1"/>
              </w:rPr>
            </w:pPr>
          </w:p>
          <w:p w:rsidR="00156513" w:rsidRPr="008A0F08" w:rsidRDefault="00156513" w:rsidP="00156513">
            <w:pPr>
              <w:rPr>
                <w:b/>
                <w:color w:val="FFFFFF" w:themeColor="background1"/>
                <w:sz w:val="28"/>
                <w:szCs w:val="28"/>
              </w:rPr>
            </w:pPr>
            <w:r w:rsidRPr="008A0F08">
              <w:rPr>
                <w:b/>
                <w:color w:val="FFFFFF" w:themeColor="background1"/>
                <w:sz w:val="28"/>
                <w:szCs w:val="28"/>
              </w:rPr>
              <w:t>Funding category</w:t>
            </w:r>
          </w:p>
          <w:p w:rsidR="00156513" w:rsidRPr="00F005DB" w:rsidRDefault="00156513" w:rsidP="00156513">
            <w:pPr>
              <w:pStyle w:val="ListParagraph"/>
              <w:numPr>
                <w:ilvl w:val="0"/>
                <w:numId w:val="2"/>
              </w:numPr>
              <w:rPr>
                <w:sz w:val="24"/>
                <w:szCs w:val="24"/>
              </w:rPr>
            </w:pPr>
            <w:r w:rsidRPr="00F005DB">
              <w:rPr>
                <w:sz w:val="24"/>
                <w:szCs w:val="24"/>
              </w:rPr>
              <w:t>Elder abuse prevention and response</w:t>
            </w:r>
          </w:p>
          <w:p w:rsidR="00156513" w:rsidRPr="00F005DB" w:rsidRDefault="00156513" w:rsidP="00156513">
            <w:pPr>
              <w:rPr>
                <w:sz w:val="24"/>
                <w:szCs w:val="24"/>
              </w:rPr>
            </w:pPr>
          </w:p>
          <w:p w:rsidR="00156513" w:rsidRPr="00F005DB" w:rsidRDefault="00156513" w:rsidP="00156513">
            <w:pPr>
              <w:rPr>
                <w:b/>
                <w:color w:val="FFFFFF" w:themeColor="background1"/>
                <w:sz w:val="28"/>
                <w:szCs w:val="28"/>
              </w:rPr>
            </w:pPr>
            <w:r w:rsidRPr="00F005DB">
              <w:rPr>
                <w:b/>
                <w:color w:val="FFFFFF" w:themeColor="background1"/>
                <w:sz w:val="28"/>
                <w:szCs w:val="28"/>
              </w:rPr>
              <w:t>Funding amount</w:t>
            </w:r>
          </w:p>
          <w:p w:rsidR="00156513" w:rsidRPr="00F005DB" w:rsidRDefault="00156513" w:rsidP="00156513">
            <w:pPr>
              <w:pStyle w:val="ListParagraph"/>
              <w:numPr>
                <w:ilvl w:val="0"/>
                <w:numId w:val="2"/>
              </w:numPr>
              <w:rPr>
                <w:sz w:val="24"/>
                <w:szCs w:val="24"/>
              </w:rPr>
            </w:pPr>
            <w:r w:rsidRPr="00F005DB">
              <w:rPr>
                <w:sz w:val="24"/>
                <w:szCs w:val="24"/>
              </w:rPr>
              <w:t>Up to $100,000</w:t>
            </w:r>
          </w:p>
          <w:p w:rsidR="00156513" w:rsidRPr="00F005DB" w:rsidRDefault="00156513" w:rsidP="00156513">
            <w:pPr>
              <w:rPr>
                <w:b/>
                <w:color w:val="FFFFFF" w:themeColor="background1"/>
                <w:sz w:val="24"/>
                <w:szCs w:val="24"/>
              </w:rPr>
            </w:pPr>
          </w:p>
          <w:p w:rsidR="00156513" w:rsidRPr="00F005DB" w:rsidRDefault="00156513" w:rsidP="00156513">
            <w:pPr>
              <w:rPr>
                <w:b/>
                <w:color w:val="FFFFFF" w:themeColor="background1"/>
                <w:sz w:val="28"/>
                <w:szCs w:val="28"/>
              </w:rPr>
            </w:pPr>
            <w:r w:rsidRPr="00F005DB">
              <w:rPr>
                <w:b/>
                <w:color w:val="FFFFFF" w:themeColor="background1"/>
                <w:sz w:val="28"/>
                <w:szCs w:val="28"/>
              </w:rPr>
              <w:t>Timeframes</w:t>
            </w:r>
          </w:p>
          <w:p w:rsidR="00156513" w:rsidRPr="00F005DB" w:rsidRDefault="00156513" w:rsidP="00156513">
            <w:pPr>
              <w:pStyle w:val="ListParagraph"/>
              <w:numPr>
                <w:ilvl w:val="0"/>
                <w:numId w:val="2"/>
              </w:numPr>
              <w:rPr>
                <w:sz w:val="24"/>
                <w:szCs w:val="24"/>
              </w:rPr>
            </w:pPr>
            <w:r>
              <w:rPr>
                <w:sz w:val="24"/>
                <w:szCs w:val="24"/>
              </w:rPr>
              <w:t>Closes</w:t>
            </w:r>
            <w:r w:rsidRPr="00F005DB">
              <w:rPr>
                <w:sz w:val="24"/>
                <w:szCs w:val="24"/>
              </w:rPr>
              <w:t xml:space="preserve"> 1</w:t>
            </w:r>
            <w:r>
              <w:rPr>
                <w:sz w:val="24"/>
                <w:szCs w:val="24"/>
              </w:rPr>
              <w:t>9</w:t>
            </w:r>
            <w:r w:rsidRPr="00F005DB">
              <w:rPr>
                <w:sz w:val="24"/>
                <w:szCs w:val="24"/>
              </w:rPr>
              <w:t xml:space="preserve"> Aug 2016</w:t>
            </w:r>
          </w:p>
          <w:p w:rsidR="00156513" w:rsidRPr="00F005DB" w:rsidRDefault="00156513" w:rsidP="00156513">
            <w:pPr>
              <w:rPr>
                <w:sz w:val="24"/>
                <w:szCs w:val="24"/>
              </w:rPr>
            </w:pPr>
          </w:p>
          <w:p w:rsidR="00156513" w:rsidRPr="00F005DB" w:rsidRDefault="00156513" w:rsidP="00156513">
            <w:pPr>
              <w:rPr>
                <w:b/>
                <w:color w:val="FFFFFF" w:themeColor="background1"/>
                <w:sz w:val="28"/>
                <w:szCs w:val="28"/>
              </w:rPr>
            </w:pPr>
            <w:r w:rsidRPr="00F005DB">
              <w:rPr>
                <w:b/>
                <w:color w:val="FFFFFF" w:themeColor="background1"/>
                <w:sz w:val="28"/>
                <w:szCs w:val="28"/>
              </w:rPr>
              <w:t>Eligibility</w:t>
            </w:r>
          </w:p>
          <w:p w:rsidR="00156513" w:rsidRPr="00F005DB" w:rsidRDefault="00156513" w:rsidP="00156513">
            <w:pPr>
              <w:pStyle w:val="NoSpacing"/>
              <w:numPr>
                <w:ilvl w:val="0"/>
                <w:numId w:val="3"/>
              </w:numPr>
              <w:rPr>
                <w:color w:val="000000"/>
                <w:sz w:val="24"/>
                <w:szCs w:val="24"/>
              </w:rPr>
            </w:pPr>
            <w:r w:rsidRPr="00F005DB">
              <w:rPr>
                <w:color w:val="000000"/>
                <w:sz w:val="24"/>
                <w:szCs w:val="24"/>
              </w:rPr>
              <w:t>Item 1 DGR organisations which are charitable at law</w:t>
            </w:r>
          </w:p>
          <w:p w:rsidR="00156513" w:rsidRDefault="00156513" w:rsidP="00156513"/>
        </w:tc>
      </w:tr>
    </w:tbl>
    <w:p w:rsidR="00AE19D3" w:rsidRDefault="00AE19D3" w:rsidP="00C720D3">
      <w:pPr>
        <w:pStyle w:val="NoSpacing"/>
        <w:ind w:left="-284"/>
        <w:rPr>
          <w:b/>
          <w:sz w:val="28"/>
          <w:szCs w:val="28"/>
        </w:rPr>
      </w:pPr>
      <w:r>
        <w:rPr>
          <w:b/>
          <w:sz w:val="28"/>
          <w:szCs w:val="28"/>
        </w:rPr>
        <w:t>H</w:t>
      </w:r>
      <w:r w:rsidR="00C720D3">
        <w:rPr>
          <w:b/>
          <w:sz w:val="28"/>
          <w:szCs w:val="28"/>
        </w:rPr>
        <w:t>ow will my project be assessed?</w:t>
      </w:r>
    </w:p>
    <w:p w:rsidR="00C720D3" w:rsidRPr="00C720D3" w:rsidRDefault="008A0F08" w:rsidP="00C720D3">
      <w:pPr>
        <w:pStyle w:val="NoSpacing"/>
        <w:ind w:left="-284"/>
        <w:rPr>
          <w:sz w:val="28"/>
          <w:szCs w:val="28"/>
        </w:rPr>
      </w:pPr>
      <w:r>
        <w:rPr>
          <w:sz w:val="28"/>
          <w:szCs w:val="28"/>
        </w:rPr>
        <w:t xml:space="preserve">The initial call </w:t>
      </w:r>
      <w:r w:rsidR="00477314">
        <w:rPr>
          <w:sz w:val="28"/>
          <w:szCs w:val="28"/>
        </w:rPr>
        <w:t>for applications will be a simple</w:t>
      </w:r>
      <w:r>
        <w:rPr>
          <w:sz w:val="28"/>
          <w:szCs w:val="28"/>
        </w:rPr>
        <w:t xml:space="preserve"> expression of interest</w:t>
      </w:r>
      <w:r w:rsidR="00477314">
        <w:rPr>
          <w:sz w:val="28"/>
          <w:szCs w:val="28"/>
        </w:rPr>
        <w:t xml:space="preserve"> form</w:t>
      </w:r>
      <w:r>
        <w:rPr>
          <w:sz w:val="28"/>
          <w:szCs w:val="28"/>
        </w:rPr>
        <w:t xml:space="preserve">.  </w:t>
      </w:r>
      <w:r w:rsidR="00477314">
        <w:rPr>
          <w:sz w:val="28"/>
          <w:szCs w:val="28"/>
        </w:rPr>
        <w:t xml:space="preserve">Shortlisted organisations will then be asked to come </w:t>
      </w:r>
      <w:r w:rsidRPr="008A0F08">
        <w:rPr>
          <w:sz w:val="28"/>
          <w:szCs w:val="28"/>
        </w:rPr>
        <w:t>for a face-to-face meeting with the assessment panel.</w:t>
      </w:r>
      <w:r>
        <w:t xml:space="preserve">  </w:t>
      </w:r>
      <w:r>
        <w:rPr>
          <w:sz w:val="28"/>
          <w:szCs w:val="28"/>
        </w:rPr>
        <w:t xml:space="preserve">  </w:t>
      </w:r>
    </w:p>
    <w:p w:rsidR="0047339D" w:rsidRDefault="0047339D" w:rsidP="0047339D">
      <w:pPr>
        <w:pStyle w:val="NoSpacing"/>
        <w:ind w:left="-284"/>
        <w:rPr>
          <w:sz w:val="24"/>
          <w:szCs w:val="24"/>
        </w:rPr>
      </w:pPr>
    </w:p>
    <w:p w:rsidR="00AE19D3" w:rsidRPr="00E12A3E" w:rsidRDefault="00AE19D3" w:rsidP="00AE19D3">
      <w:pPr>
        <w:pStyle w:val="NoSpacing"/>
        <w:ind w:left="-284"/>
        <w:rPr>
          <w:b/>
          <w:sz w:val="28"/>
          <w:szCs w:val="28"/>
        </w:rPr>
      </w:pPr>
      <w:r w:rsidRPr="00E12A3E">
        <w:rPr>
          <w:b/>
          <w:sz w:val="28"/>
          <w:szCs w:val="28"/>
        </w:rPr>
        <w:t>Who is eligible?</w:t>
      </w:r>
    </w:p>
    <w:p w:rsidR="00AE19D3" w:rsidRPr="00E36336" w:rsidRDefault="00AE19D3" w:rsidP="00AE19D3">
      <w:pPr>
        <w:pStyle w:val="NoSpacing"/>
        <w:ind w:left="-284"/>
        <w:rPr>
          <w:sz w:val="28"/>
          <w:szCs w:val="28"/>
        </w:rPr>
      </w:pPr>
      <w:r w:rsidRPr="00E36336">
        <w:rPr>
          <w:sz w:val="28"/>
          <w:szCs w:val="28"/>
        </w:rPr>
        <w:t>Australian eligible entities providing direct community support or activities are eligible to apply.  Note</w:t>
      </w:r>
      <w:r w:rsidR="00896E15">
        <w:rPr>
          <w:sz w:val="28"/>
          <w:szCs w:val="28"/>
        </w:rPr>
        <w:t>,</w:t>
      </w:r>
      <w:r w:rsidRPr="00E36336">
        <w:rPr>
          <w:sz w:val="28"/>
          <w:szCs w:val="28"/>
        </w:rPr>
        <w:t xml:space="preserve"> an eligible entity is endorsed as Item 1 Deductible Gift Recipient (DGR) and is charitable at law. </w:t>
      </w:r>
    </w:p>
    <w:p w:rsidR="00AE19D3" w:rsidRDefault="00AE19D3" w:rsidP="0047339D">
      <w:pPr>
        <w:pStyle w:val="NoSpacing"/>
        <w:ind w:left="-284"/>
        <w:rPr>
          <w:b/>
          <w:sz w:val="28"/>
          <w:szCs w:val="28"/>
        </w:rPr>
      </w:pPr>
    </w:p>
    <w:p w:rsidR="00AE19D3" w:rsidRDefault="00AE19D3" w:rsidP="00AE19D3">
      <w:pPr>
        <w:pStyle w:val="NoSpacing"/>
        <w:ind w:left="-284"/>
        <w:rPr>
          <w:b/>
          <w:sz w:val="28"/>
          <w:szCs w:val="28"/>
        </w:rPr>
      </w:pPr>
      <w:r w:rsidRPr="00E12A3E">
        <w:rPr>
          <w:b/>
          <w:sz w:val="28"/>
          <w:szCs w:val="28"/>
        </w:rPr>
        <w:t>What are the timeframes?</w:t>
      </w:r>
    </w:p>
    <w:p w:rsidR="008A0F08" w:rsidRPr="008A0F08" w:rsidRDefault="008A0F08" w:rsidP="00AE19D3">
      <w:pPr>
        <w:pStyle w:val="NoSpacing"/>
        <w:ind w:left="-284"/>
        <w:rPr>
          <w:sz w:val="28"/>
          <w:szCs w:val="28"/>
        </w:rPr>
      </w:pPr>
      <w:r>
        <w:rPr>
          <w:sz w:val="28"/>
          <w:szCs w:val="28"/>
        </w:rPr>
        <w:t xml:space="preserve">Applications can be submitted </w:t>
      </w:r>
      <w:r w:rsidR="00477314">
        <w:rPr>
          <w:sz w:val="28"/>
          <w:szCs w:val="28"/>
        </w:rPr>
        <w:t xml:space="preserve">until </w:t>
      </w:r>
      <w:r w:rsidR="00896E15">
        <w:rPr>
          <w:sz w:val="28"/>
          <w:szCs w:val="28"/>
        </w:rPr>
        <w:t xml:space="preserve">Friday </w:t>
      </w:r>
      <w:r>
        <w:rPr>
          <w:sz w:val="28"/>
          <w:szCs w:val="28"/>
        </w:rPr>
        <w:t>19 August 2016.  Shortlisted applicants would meet with the assessment panel in September</w:t>
      </w:r>
      <w:r w:rsidR="009A05C6">
        <w:rPr>
          <w:sz w:val="28"/>
          <w:szCs w:val="28"/>
        </w:rPr>
        <w:t xml:space="preserve"> 2016</w:t>
      </w:r>
      <w:r>
        <w:rPr>
          <w:sz w:val="28"/>
          <w:szCs w:val="28"/>
        </w:rPr>
        <w:t>.</w:t>
      </w:r>
      <w:r w:rsidR="009A05C6">
        <w:rPr>
          <w:sz w:val="28"/>
          <w:szCs w:val="28"/>
        </w:rPr>
        <w:t xml:space="preserve">  Outco</w:t>
      </w:r>
      <w:r w:rsidR="008764E4">
        <w:rPr>
          <w:sz w:val="28"/>
          <w:szCs w:val="28"/>
        </w:rPr>
        <w:t>mes will be announced in December</w:t>
      </w:r>
      <w:r w:rsidR="009A05C6">
        <w:rPr>
          <w:sz w:val="28"/>
          <w:szCs w:val="28"/>
        </w:rPr>
        <w:t xml:space="preserve"> 2016</w:t>
      </w:r>
      <w:r w:rsidR="00896E15">
        <w:rPr>
          <w:sz w:val="28"/>
          <w:szCs w:val="28"/>
        </w:rPr>
        <w:t>.</w:t>
      </w:r>
      <w:r>
        <w:rPr>
          <w:sz w:val="28"/>
          <w:szCs w:val="28"/>
        </w:rPr>
        <w:t xml:space="preserve">  </w:t>
      </w:r>
    </w:p>
    <w:p w:rsidR="00AE19D3" w:rsidRDefault="00AE19D3" w:rsidP="0047339D">
      <w:pPr>
        <w:pStyle w:val="NoSpacing"/>
        <w:ind w:left="-284"/>
        <w:rPr>
          <w:b/>
          <w:sz w:val="28"/>
          <w:szCs w:val="28"/>
        </w:rPr>
      </w:pPr>
    </w:p>
    <w:p w:rsidR="00A17B04" w:rsidRPr="00E12A3E" w:rsidRDefault="00A17B04" w:rsidP="00A17B04">
      <w:pPr>
        <w:pStyle w:val="NoSpacing"/>
        <w:ind w:left="-284"/>
        <w:rPr>
          <w:b/>
          <w:sz w:val="28"/>
          <w:szCs w:val="28"/>
        </w:rPr>
      </w:pPr>
      <w:r w:rsidRPr="00E12A3E">
        <w:rPr>
          <w:b/>
          <w:sz w:val="28"/>
          <w:szCs w:val="28"/>
        </w:rPr>
        <w:t>How do I apply?</w:t>
      </w:r>
    </w:p>
    <w:p w:rsidR="00A17B04" w:rsidRPr="00E36336" w:rsidRDefault="00A17B04" w:rsidP="00A17B04">
      <w:pPr>
        <w:pStyle w:val="NoSpacing"/>
        <w:ind w:left="-284"/>
        <w:rPr>
          <w:sz w:val="28"/>
          <w:szCs w:val="28"/>
        </w:rPr>
      </w:pPr>
      <w:r w:rsidRPr="00E36336">
        <w:rPr>
          <w:sz w:val="28"/>
          <w:szCs w:val="28"/>
        </w:rPr>
        <w:t xml:space="preserve">We use SmartyGrants – an online application form.  Remember to save each page when entering information.  We recommend reading these tips on how to use SmartyGrants: </w:t>
      </w:r>
      <w:hyperlink r:id="rId8" w:history="1">
        <w:r w:rsidRPr="00477314">
          <w:rPr>
            <w:rStyle w:val="Hyperlink"/>
            <w:b/>
            <w:color w:val="FF6137" w:themeColor="accent6" w:themeTint="99"/>
            <w:sz w:val="28"/>
            <w:szCs w:val="28"/>
          </w:rPr>
          <w:t>Help Guide for Applicants</w:t>
        </w:r>
      </w:hyperlink>
      <w:r w:rsidRPr="00E36336">
        <w:rPr>
          <w:sz w:val="28"/>
          <w:szCs w:val="28"/>
        </w:rPr>
        <w:t>.</w:t>
      </w:r>
    </w:p>
    <w:p w:rsidR="00A17B04" w:rsidRPr="00E36336" w:rsidRDefault="00A17B04" w:rsidP="00A17B04">
      <w:pPr>
        <w:pStyle w:val="NoSpacing"/>
        <w:ind w:left="-284"/>
        <w:rPr>
          <w:sz w:val="28"/>
          <w:szCs w:val="28"/>
        </w:rPr>
      </w:pPr>
      <w:r w:rsidRPr="00E36336">
        <w:rPr>
          <w:sz w:val="28"/>
          <w:szCs w:val="28"/>
        </w:rPr>
        <w:t xml:space="preserve"> </w:t>
      </w:r>
    </w:p>
    <w:p w:rsidR="00A17B04" w:rsidRPr="00E36336" w:rsidRDefault="00A17B04" w:rsidP="00A17B04">
      <w:pPr>
        <w:pStyle w:val="NoSpacing"/>
        <w:ind w:left="-284"/>
        <w:rPr>
          <w:sz w:val="28"/>
          <w:szCs w:val="28"/>
        </w:rPr>
      </w:pPr>
      <w:r w:rsidRPr="00E36336">
        <w:rPr>
          <w:sz w:val="28"/>
          <w:szCs w:val="28"/>
        </w:rPr>
        <w:t xml:space="preserve">Already familiar with SmartyGrants?  Then login to our application form: </w:t>
      </w:r>
      <w:r w:rsidRPr="00435411">
        <w:rPr>
          <w:b/>
          <w:color w:val="FF6137" w:themeColor="accent6" w:themeTint="99"/>
          <w:sz w:val="28"/>
          <w:szCs w:val="28"/>
        </w:rPr>
        <w:t>https://statetrustees.sm</w:t>
      </w:r>
      <w:r w:rsidR="00435411">
        <w:rPr>
          <w:b/>
          <w:color w:val="FF6137" w:themeColor="accent6" w:themeTint="99"/>
          <w:sz w:val="28"/>
          <w:szCs w:val="28"/>
        </w:rPr>
        <w:t>artygrants.com.au/2016elderabuse</w:t>
      </w:r>
      <w:bookmarkStart w:id="0" w:name="_GoBack"/>
      <w:bookmarkEnd w:id="0"/>
    </w:p>
    <w:p w:rsidR="00AE19D3" w:rsidRDefault="00AE19D3" w:rsidP="0047339D">
      <w:pPr>
        <w:pStyle w:val="NoSpacing"/>
        <w:ind w:left="-284"/>
        <w:rPr>
          <w:b/>
          <w:sz w:val="28"/>
          <w:szCs w:val="28"/>
        </w:rPr>
      </w:pPr>
    </w:p>
    <w:p w:rsidR="0047339D" w:rsidRPr="00E12A3E" w:rsidRDefault="0047339D" w:rsidP="0047339D">
      <w:pPr>
        <w:pStyle w:val="NoSpacing"/>
        <w:ind w:left="-284"/>
        <w:rPr>
          <w:b/>
          <w:sz w:val="28"/>
          <w:szCs w:val="28"/>
        </w:rPr>
      </w:pPr>
      <w:r w:rsidRPr="00E12A3E">
        <w:rPr>
          <w:b/>
          <w:sz w:val="28"/>
          <w:szCs w:val="28"/>
        </w:rPr>
        <w:t xml:space="preserve">Who do I contact for more information?  </w:t>
      </w:r>
    </w:p>
    <w:p w:rsidR="0047339D" w:rsidRDefault="0047339D" w:rsidP="00435411">
      <w:pPr>
        <w:pStyle w:val="NoSpacing"/>
        <w:ind w:left="-284"/>
      </w:pPr>
      <w:r w:rsidRPr="00E36336">
        <w:rPr>
          <w:sz w:val="28"/>
          <w:szCs w:val="28"/>
        </w:rPr>
        <w:t>Contact us on</w:t>
      </w:r>
      <w:r w:rsidRPr="00E36336">
        <w:rPr>
          <w:rFonts w:cs="Arial"/>
          <w:sz w:val="28"/>
          <w:szCs w:val="28"/>
        </w:rPr>
        <w:t xml:space="preserve"> </w:t>
      </w:r>
      <w:r w:rsidR="00896E15">
        <w:rPr>
          <w:rFonts w:cs="Arial"/>
          <w:b/>
          <w:color w:val="EA7125"/>
          <w:sz w:val="28"/>
          <w:szCs w:val="28"/>
        </w:rPr>
        <w:t>(03) 9667-</w:t>
      </w:r>
      <w:r w:rsidRPr="00E36336">
        <w:rPr>
          <w:rFonts w:cs="Arial"/>
          <w:b/>
          <w:color w:val="EA7125"/>
          <w:sz w:val="28"/>
          <w:szCs w:val="28"/>
        </w:rPr>
        <w:t xml:space="preserve">6740 </w:t>
      </w:r>
      <w:r w:rsidRPr="00E36336">
        <w:rPr>
          <w:rFonts w:cs="Arial"/>
          <w:sz w:val="28"/>
          <w:szCs w:val="28"/>
        </w:rPr>
        <w:t>or send us an email if you would like more information</w:t>
      </w:r>
      <w:r w:rsidR="00477314">
        <w:rPr>
          <w:rFonts w:cs="Arial"/>
          <w:sz w:val="28"/>
          <w:szCs w:val="28"/>
        </w:rPr>
        <w:t xml:space="preserve"> or to discuss your project</w:t>
      </w:r>
      <w:r w:rsidRPr="00E36336">
        <w:rPr>
          <w:rFonts w:cs="Arial"/>
          <w:sz w:val="28"/>
          <w:szCs w:val="28"/>
        </w:rPr>
        <w:t>:</w:t>
      </w:r>
      <w:r w:rsidRPr="00E36336">
        <w:rPr>
          <w:rFonts w:cs="Arial"/>
          <w:color w:val="EA7125"/>
          <w:sz w:val="28"/>
          <w:szCs w:val="28"/>
        </w:rPr>
        <w:t xml:space="preserve"> </w:t>
      </w:r>
      <w:hyperlink r:id="rId9" w:history="1">
        <w:r w:rsidR="008764E4" w:rsidRPr="007B4875">
          <w:rPr>
            <w:rStyle w:val="Hyperlink"/>
            <w:rFonts w:cs="Arial"/>
            <w:b/>
            <w:sz w:val="28"/>
            <w:szCs w:val="28"/>
          </w:rPr>
          <w:t>charitable@stl.com.au</w:t>
        </w:r>
      </w:hyperlink>
    </w:p>
    <w:sectPr w:rsidR="0047339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D21" w:rsidRDefault="002A1D21" w:rsidP="002A1D21">
      <w:pPr>
        <w:spacing w:after="0" w:line="240" w:lineRule="auto"/>
      </w:pPr>
      <w:r>
        <w:separator/>
      </w:r>
    </w:p>
  </w:endnote>
  <w:endnote w:type="continuationSeparator" w:id="0">
    <w:p w:rsidR="002A1D21" w:rsidRDefault="002A1D21" w:rsidP="002A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14" w:rsidRPr="00477314" w:rsidRDefault="008764E4" w:rsidP="00477314">
    <w:pPr>
      <w:pStyle w:val="Footer"/>
      <w:ind w:left="-142"/>
      <w:jc w:val="both"/>
      <w:rPr>
        <w:color w:val="6D6E71"/>
      </w:rPr>
    </w:pPr>
    <w:hyperlink r:id="rId1" w:history="1">
      <w:r w:rsidR="00477314" w:rsidRPr="00477314">
        <w:rPr>
          <w:rStyle w:val="Hyperlink"/>
          <w:color w:val="auto"/>
        </w:rPr>
        <w:t>www.statetrustees.com.au/state-trustees-foundation</w:t>
      </w:r>
    </w:hyperlink>
    <w:r w:rsidR="00477314" w:rsidRPr="00477314">
      <w:rPr>
        <w:noProof/>
        <w:sz w:val="44"/>
        <w:szCs w:val="52"/>
        <w:lang w:eastAsia="en-AU"/>
      </w:rPr>
      <mc:AlternateContent>
        <mc:Choice Requires="wps">
          <w:drawing>
            <wp:anchor distT="4294967294" distB="4294967294" distL="114300" distR="114300" simplePos="0" relativeHeight="251659264" behindDoc="0" locked="0" layoutInCell="1" allowOverlap="1" wp14:anchorId="08CD72D0" wp14:editId="4CBA5254">
              <wp:simplePos x="0" y="0"/>
              <wp:positionH relativeFrom="column">
                <wp:posOffset>-151167</wp:posOffset>
              </wp:positionH>
              <wp:positionV relativeFrom="paragraph">
                <wp:posOffset>-78740</wp:posOffset>
              </wp:positionV>
              <wp:extent cx="6120000" cy="0"/>
              <wp:effectExtent l="0" t="19050" r="3365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straightConnector1">
                        <a:avLst/>
                      </a:prstGeom>
                      <a:noFill/>
                      <a:ln w="28575">
                        <a:solidFill>
                          <a:srgbClr val="EA71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5649F4" id="_x0000_t32" coordsize="21600,21600" o:spt="32" o:oned="t" path="m,l21600,21600e" filled="f">
              <v:path arrowok="t" fillok="f" o:connecttype="none"/>
              <o:lock v:ext="edit" shapetype="t"/>
            </v:shapetype>
            <v:shape id="AutoShape 1" o:spid="_x0000_s1026" type="#_x0000_t32" style="position:absolute;margin-left:-11.9pt;margin-top:-6.2pt;width:481.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" strokecolor="#ea7125" strokeweight="2.25pt"/>
          </w:pict>
        </mc:Fallback>
      </mc:AlternateContent>
    </w:r>
    <w:r w:rsidR="00477314" w:rsidRPr="00477314">
      <w:t xml:space="preserve">   </w:t>
    </w:r>
    <w:r w:rsidR="00435411" w:rsidRPr="00477314">
      <w:rPr>
        <w:noProof/>
        <w:lang w:eastAsia="en-AU"/>
      </w:rPr>
      <w:drawing>
        <wp:inline distT="0" distB="0" distL="0" distR="0" wp14:anchorId="76F29363" wp14:editId="530D45DC">
          <wp:extent cx="121920" cy="121920"/>
          <wp:effectExtent l="0" t="0" r="0" b="0"/>
          <wp:docPr id="7" name="Picture 7">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477314" w:rsidRPr="00477314">
      <w:t xml:space="preserve"> </w:t>
    </w:r>
    <w:r w:rsidR="00435411">
      <w:t>@</w:t>
    </w:r>
    <w:r w:rsidR="00477314" w:rsidRPr="00477314">
      <w:t>StateTrustees</w:t>
    </w:r>
    <w:r w:rsidR="00435411">
      <w:t xml:space="preserve">     </w:t>
    </w:r>
    <w:r w:rsidR="00435411" w:rsidRPr="00B15AE5">
      <w:rPr>
        <w:noProof/>
        <w:color w:val="4D4E53"/>
        <w:lang w:eastAsia="en-AU"/>
      </w:rPr>
      <w:drawing>
        <wp:inline distT="0" distB="0" distL="0" distR="0" wp14:anchorId="50845C34" wp14:editId="00D2062B">
          <wp:extent cx="122555" cy="122555"/>
          <wp:effectExtent l="0" t="0" r="0" b="0"/>
          <wp:docPr id="6" name="Picture 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pic:spPr>
              </pic:pic>
            </a:graphicData>
          </a:graphic>
        </wp:inline>
      </w:drawing>
    </w:r>
    <w:r w:rsidR="00435411">
      <w:t xml:space="preserve"> company/state-trustees</w:t>
    </w:r>
  </w:p>
  <w:p w:rsidR="00477314" w:rsidRDefault="00477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D21" w:rsidRDefault="002A1D21" w:rsidP="002A1D21">
      <w:pPr>
        <w:spacing w:after="0" w:line="240" w:lineRule="auto"/>
      </w:pPr>
      <w:r>
        <w:separator/>
      </w:r>
    </w:p>
  </w:footnote>
  <w:footnote w:type="continuationSeparator" w:id="0">
    <w:p w:rsidR="002A1D21" w:rsidRDefault="002A1D21" w:rsidP="002A1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F6DC3"/>
    <w:multiLevelType w:val="hybridMultilevel"/>
    <w:tmpl w:val="EDD6AF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2B2C5F"/>
    <w:multiLevelType w:val="hybridMultilevel"/>
    <w:tmpl w:val="2A926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A2A636B"/>
    <w:multiLevelType w:val="hybridMultilevel"/>
    <w:tmpl w:val="BDE0E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8193">
      <o:colormenu v:ext="edit" fillcolor="none [6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21"/>
    <w:rsid w:val="0005307A"/>
    <w:rsid w:val="00156513"/>
    <w:rsid w:val="00182841"/>
    <w:rsid w:val="001A3C6E"/>
    <w:rsid w:val="002A1D21"/>
    <w:rsid w:val="003B5FCA"/>
    <w:rsid w:val="00435411"/>
    <w:rsid w:val="0047339D"/>
    <w:rsid w:val="00477314"/>
    <w:rsid w:val="004E53AC"/>
    <w:rsid w:val="005C64CA"/>
    <w:rsid w:val="008764E4"/>
    <w:rsid w:val="00896E15"/>
    <w:rsid w:val="008A0F08"/>
    <w:rsid w:val="009639EC"/>
    <w:rsid w:val="009A05C6"/>
    <w:rsid w:val="009F77D9"/>
    <w:rsid w:val="00A17B04"/>
    <w:rsid w:val="00AE19D3"/>
    <w:rsid w:val="00B40A12"/>
    <w:rsid w:val="00C720D3"/>
    <w:rsid w:val="00D92D8B"/>
    <w:rsid w:val="00E36336"/>
    <w:rsid w:val="00EF0665"/>
    <w:rsid w:val="00F005DB"/>
    <w:rsid w:val="00F135A8"/>
    <w:rsid w:val="00F9143F"/>
    <w:rsid w:val="00FE5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663]"/>
    </o:shapedefaults>
    <o:shapelayout v:ext="edit">
      <o:idmap v:ext="edit" data="1"/>
    </o:shapelayout>
  </w:shapeDefaults>
  <w:decimalSymbol w:val="."/>
  <w:listSeparator w:val=","/>
  <w15:chartTrackingRefBased/>
  <w15:docId w15:val="{5AF1B129-D61E-4495-83D5-45939525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1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D21"/>
  </w:style>
  <w:style w:type="paragraph" w:styleId="Footer">
    <w:name w:val="footer"/>
    <w:basedOn w:val="Normal"/>
    <w:link w:val="FooterChar"/>
    <w:uiPriority w:val="99"/>
    <w:unhideWhenUsed/>
    <w:rsid w:val="002A1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D21"/>
  </w:style>
  <w:style w:type="paragraph" w:styleId="NoSpacing">
    <w:name w:val="No Spacing"/>
    <w:link w:val="NoSpacingChar"/>
    <w:uiPriority w:val="1"/>
    <w:qFormat/>
    <w:rsid w:val="00F135A8"/>
    <w:pPr>
      <w:spacing w:after="0" w:line="240" w:lineRule="auto"/>
    </w:pPr>
  </w:style>
  <w:style w:type="character" w:customStyle="1" w:styleId="NoSpacingChar">
    <w:name w:val="No Spacing Char"/>
    <w:basedOn w:val="DefaultParagraphFont"/>
    <w:link w:val="NoSpacing"/>
    <w:uiPriority w:val="1"/>
    <w:rsid w:val="009639EC"/>
  </w:style>
  <w:style w:type="character" w:styleId="Hyperlink">
    <w:name w:val="Hyperlink"/>
    <w:basedOn w:val="DefaultParagraphFont"/>
    <w:uiPriority w:val="99"/>
    <w:unhideWhenUsed/>
    <w:rsid w:val="0047339D"/>
    <w:rPr>
      <w:color w:val="CC9900" w:themeColor="hyperlink"/>
      <w:u w:val="single"/>
    </w:rPr>
  </w:style>
  <w:style w:type="paragraph" w:styleId="ListParagraph">
    <w:name w:val="List Paragraph"/>
    <w:basedOn w:val="Normal"/>
    <w:uiPriority w:val="34"/>
    <w:qFormat/>
    <w:rsid w:val="008A0F08"/>
    <w:pPr>
      <w:ind w:left="720"/>
      <w:contextualSpacing/>
    </w:pPr>
  </w:style>
  <w:style w:type="paragraph" w:styleId="BalloonText">
    <w:name w:val="Balloon Text"/>
    <w:basedOn w:val="Normal"/>
    <w:link w:val="BalloonTextChar"/>
    <w:uiPriority w:val="99"/>
    <w:semiHidden/>
    <w:unhideWhenUsed/>
    <w:rsid w:val="00FE5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423210">
      <w:bodyDiv w:val="1"/>
      <w:marLeft w:val="0"/>
      <w:marRight w:val="0"/>
      <w:marTop w:val="0"/>
      <w:marBottom w:val="0"/>
      <w:divBdr>
        <w:top w:val="none" w:sz="0" w:space="0" w:color="auto"/>
        <w:left w:val="none" w:sz="0" w:space="0" w:color="auto"/>
        <w:bottom w:val="none" w:sz="0" w:space="0" w:color="auto"/>
        <w:right w:val="none" w:sz="0" w:space="0" w:color="auto"/>
      </w:divBdr>
    </w:div>
    <w:div w:id="21473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smartygrants.com.au/display/help/Help+Guide+for+Applica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ritable@stl.com.a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twitter.com/isentia" TargetMode="External"/><Relationship Id="rId1" Type="http://schemas.openxmlformats.org/officeDocument/2006/relationships/hyperlink" Target="http://www.statetrustees.com.au/state-trustees-foundation" TargetMode="External"/><Relationship Id="rId5" Type="http://schemas.openxmlformats.org/officeDocument/2006/relationships/image" Target="media/image3.jpeg"/><Relationship Id="rId4" Type="http://schemas.openxmlformats.org/officeDocument/2006/relationships/hyperlink" Target="http://www.linkedin.com/company/isentia"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Trustees Limited</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Dolan</dc:creator>
  <cp:keywords/>
  <dc:description/>
  <cp:lastModifiedBy>Erin Dolan</cp:lastModifiedBy>
  <cp:revision>13</cp:revision>
  <cp:lastPrinted>2016-06-09T01:47:00Z</cp:lastPrinted>
  <dcterms:created xsi:type="dcterms:W3CDTF">2016-06-06T23:21:00Z</dcterms:created>
  <dcterms:modified xsi:type="dcterms:W3CDTF">2016-06-24T02:19:00Z</dcterms:modified>
</cp:coreProperties>
</file>